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8FB" w:rsidRDefault="00B658FB" w:rsidP="00B658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48"/>
          <w:szCs w:val="48"/>
        </w:rPr>
      </w:pPr>
      <w:r>
        <w:rPr>
          <w:rFonts w:ascii="Arial" w:hAnsi="Arial" w:cs="Arial"/>
          <w:b/>
          <w:bCs/>
          <w:sz w:val="48"/>
          <w:szCs w:val="48"/>
        </w:rPr>
        <w:t>Communities</w:t>
      </w:r>
    </w:p>
    <w:p w:rsidR="00B658FB" w:rsidRDefault="00B658FB" w:rsidP="00B658FB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0"/>
          <w:szCs w:val="20"/>
        </w:rPr>
      </w:pPr>
      <w:r>
        <w:rPr>
          <w:rFonts w:ascii="Georgia" w:hAnsi="Georgia" w:cs="Georgia"/>
          <w:sz w:val="20"/>
          <w:szCs w:val="20"/>
        </w:rPr>
        <w:t>Multiple communities may be configured for each Application server. However, there can only be one community</w:t>
      </w:r>
      <w:r>
        <w:rPr>
          <w:rFonts w:ascii="Georgia" w:hAnsi="Georgia" w:cs="Georgia"/>
          <w:sz w:val="20"/>
          <w:szCs w:val="20"/>
        </w:rPr>
        <w:t xml:space="preserve"> </w:t>
      </w:r>
      <w:r>
        <w:rPr>
          <w:rFonts w:ascii="Georgia" w:hAnsi="Georgia" w:cs="Georgia"/>
          <w:sz w:val="20"/>
          <w:szCs w:val="20"/>
        </w:rPr>
        <w:t>for each Data Source Name. Before you can assign communities you must first create an eB Data</w:t>
      </w:r>
      <w:r>
        <w:rPr>
          <w:rFonts w:ascii="Georgia" w:hAnsi="Georgia" w:cs="Georgia"/>
          <w:sz w:val="20"/>
          <w:szCs w:val="20"/>
        </w:rPr>
        <w:t xml:space="preserve"> </w:t>
      </w:r>
      <w:r>
        <w:rPr>
          <w:rFonts w:ascii="Georgia" w:hAnsi="Georgia" w:cs="Georgia"/>
          <w:sz w:val="20"/>
          <w:szCs w:val="20"/>
        </w:rPr>
        <w:t>Source using the eB Server Configuration utility which has already been performed.</w:t>
      </w:r>
    </w:p>
    <w:p w:rsidR="00B658FB" w:rsidRDefault="00B658FB" w:rsidP="00B658FB">
      <w:p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0"/>
          <w:szCs w:val="20"/>
        </w:rPr>
      </w:pPr>
      <w:bookmarkStart w:id="0" w:name="_GoBack"/>
      <w:bookmarkEnd w:id="0"/>
    </w:p>
    <w:p w:rsidR="00B658FB" w:rsidRDefault="00B658FB" w:rsidP="00B658F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0"/>
          <w:szCs w:val="20"/>
        </w:rPr>
      </w:pPr>
      <w:r w:rsidRPr="00B658FB">
        <w:rPr>
          <w:rFonts w:ascii="Georgia" w:hAnsi="Georgia" w:cs="Georgia"/>
          <w:sz w:val="20"/>
          <w:szCs w:val="20"/>
        </w:rPr>
        <w:t>To create a community, select the 'Communities' container on the left pane. Choose 'Add Community'</w:t>
      </w:r>
      <w:r w:rsidRPr="00B658FB">
        <w:rPr>
          <w:rFonts w:ascii="Georgia" w:hAnsi="Georgia" w:cs="Georgia"/>
          <w:sz w:val="20"/>
          <w:szCs w:val="20"/>
        </w:rPr>
        <w:t xml:space="preserve"> </w:t>
      </w:r>
      <w:r w:rsidRPr="00B658FB">
        <w:rPr>
          <w:rFonts w:ascii="Georgia" w:hAnsi="Georgia" w:cs="Georgia"/>
          <w:sz w:val="20"/>
          <w:szCs w:val="20"/>
        </w:rPr>
        <w:t>by either right-clicking on the right pane or by selecting 'Add Community' from the 'Communities'</w:t>
      </w:r>
      <w:r w:rsidRPr="00B658FB">
        <w:rPr>
          <w:rFonts w:ascii="Georgia" w:hAnsi="Georgia" w:cs="Georgia"/>
          <w:sz w:val="20"/>
          <w:szCs w:val="20"/>
        </w:rPr>
        <w:t xml:space="preserve"> </w:t>
      </w:r>
      <w:r w:rsidRPr="00B658FB">
        <w:rPr>
          <w:rFonts w:ascii="Georgia" w:hAnsi="Georgia" w:cs="Georgia"/>
          <w:sz w:val="20"/>
          <w:szCs w:val="20"/>
        </w:rPr>
        <w:t>drop-down menu. The following screen is displayed:</w:t>
      </w:r>
    </w:p>
    <w:p w:rsidR="00B658FB" w:rsidRPr="00B658FB" w:rsidRDefault="00B658FB" w:rsidP="00B658F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Georgia" w:hAnsi="Georgia" w:cs="Georgia"/>
          <w:sz w:val="20"/>
          <w:szCs w:val="20"/>
        </w:rPr>
      </w:pPr>
    </w:p>
    <w:p w:rsidR="00B658FB" w:rsidRPr="00B658FB" w:rsidRDefault="00B658FB" w:rsidP="00B658FB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Georgia"/>
          <w:sz w:val="20"/>
          <w:szCs w:val="20"/>
        </w:rPr>
      </w:pPr>
      <w:r w:rsidRPr="00B658FB">
        <w:rPr>
          <w:noProof/>
        </w:rPr>
        <w:drawing>
          <wp:inline distT="0" distB="0" distL="0" distR="0">
            <wp:extent cx="3800475" cy="42576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425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58FB" w:rsidRDefault="00B658FB" w:rsidP="00B658FB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Georgia"/>
          <w:i/>
          <w:iCs/>
          <w:sz w:val="20"/>
          <w:szCs w:val="20"/>
        </w:rPr>
      </w:pPr>
      <w:r w:rsidRPr="00B658FB">
        <w:rPr>
          <w:rFonts w:ascii="Georgia" w:hAnsi="Georgia" w:cs="Georgia"/>
          <w:i/>
          <w:iCs/>
          <w:sz w:val="20"/>
          <w:szCs w:val="20"/>
        </w:rPr>
        <w:t>Figure 10: New community dialog</w:t>
      </w:r>
    </w:p>
    <w:p w:rsidR="00B658FB" w:rsidRPr="00B658FB" w:rsidRDefault="00B658FB" w:rsidP="00B658FB">
      <w:pPr>
        <w:autoSpaceDE w:val="0"/>
        <w:autoSpaceDN w:val="0"/>
        <w:adjustRightInd w:val="0"/>
        <w:spacing w:after="0" w:line="240" w:lineRule="auto"/>
        <w:jc w:val="center"/>
        <w:rPr>
          <w:rFonts w:ascii="Georgia" w:hAnsi="Georgia" w:cs="Georgia"/>
          <w:i/>
          <w:iCs/>
          <w:sz w:val="20"/>
          <w:szCs w:val="20"/>
        </w:rPr>
      </w:pPr>
    </w:p>
    <w:p w:rsidR="00B658FB" w:rsidRPr="00B658FB" w:rsidRDefault="00B658FB" w:rsidP="00B658F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0"/>
          <w:szCs w:val="20"/>
        </w:rPr>
      </w:pPr>
      <w:r w:rsidRPr="00B658FB">
        <w:rPr>
          <w:rFonts w:ascii="Georgia" w:hAnsi="Georgia" w:cs="Georgia"/>
          <w:sz w:val="20"/>
          <w:szCs w:val="20"/>
        </w:rPr>
        <w:t>Enter the Application server name and select the data source that was created earlier in this process</w:t>
      </w:r>
      <w:r w:rsidRPr="00B658FB">
        <w:rPr>
          <w:rFonts w:ascii="Georgia" w:hAnsi="Georgia" w:cs="Georgia"/>
          <w:sz w:val="20"/>
          <w:szCs w:val="20"/>
        </w:rPr>
        <w:t xml:space="preserve">  </w:t>
      </w:r>
      <w:r w:rsidRPr="00B658FB">
        <w:rPr>
          <w:rFonts w:ascii="Georgia" w:hAnsi="Georgia" w:cs="Georgia"/>
          <w:sz w:val="20"/>
          <w:szCs w:val="20"/>
        </w:rPr>
        <w:t>from the drop-down list. This should be detailed in the eB Installation Worksheet; Application</w:t>
      </w:r>
      <w:r w:rsidRPr="00B658FB">
        <w:rPr>
          <w:rFonts w:ascii="Georgia" w:hAnsi="Georgia" w:cs="Georgia"/>
          <w:sz w:val="20"/>
          <w:szCs w:val="20"/>
        </w:rPr>
        <w:t xml:space="preserve"> </w:t>
      </w:r>
      <w:r w:rsidRPr="00B658FB">
        <w:rPr>
          <w:rFonts w:ascii="Georgia" w:hAnsi="Georgia" w:cs="Georgia"/>
          <w:sz w:val="20"/>
          <w:szCs w:val="20"/>
        </w:rPr>
        <w:t>Server and Data Source Name respectfully.</w:t>
      </w:r>
    </w:p>
    <w:p w:rsidR="00B658FB" w:rsidRPr="00B658FB" w:rsidRDefault="00B658FB" w:rsidP="00B658F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0"/>
          <w:szCs w:val="20"/>
        </w:rPr>
      </w:pPr>
      <w:r w:rsidRPr="00B658FB">
        <w:rPr>
          <w:rFonts w:ascii="Georgia" w:hAnsi="Georgia" w:cs="Georgia"/>
          <w:sz w:val="20"/>
          <w:szCs w:val="20"/>
        </w:rPr>
        <w:t>If no community appears, and the database is on a separate server, ensure that identities for the</w:t>
      </w:r>
      <w:r w:rsidRPr="00B658FB">
        <w:rPr>
          <w:rFonts w:ascii="Georgia" w:hAnsi="Georgia" w:cs="Georgia"/>
          <w:sz w:val="20"/>
          <w:szCs w:val="20"/>
        </w:rPr>
        <w:t xml:space="preserve"> </w:t>
      </w:r>
      <w:r w:rsidRPr="00B658FB">
        <w:rPr>
          <w:rFonts w:ascii="Georgia" w:hAnsi="Georgia" w:cs="Georgia"/>
          <w:sz w:val="20"/>
          <w:szCs w:val="20"/>
        </w:rPr>
        <w:t>COM+ package and the eB service manager have been set, and also that Network DTC has been</w:t>
      </w:r>
      <w:r w:rsidRPr="00B658FB">
        <w:rPr>
          <w:rFonts w:ascii="Georgia" w:hAnsi="Georgia" w:cs="Georgia"/>
          <w:sz w:val="20"/>
          <w:szCs w:val="20"/>
        </w:rPr>
        <w:t xml:space="preserve"> </w:t>
      </w:r>
      <w:r w:rsidRPr="00B658FB">
        <w:rPr>
          <w:rFonts w:ascii="Georgia" w:hAnsi="Georgia" w:cs="Georgia"/>
          <w:sz w:val="20"/>
          <w:szCs w:val="20"/>
        </w:rPr>
        <w:t>enabled on both servers and are set to the correct authentication, as described in the eB Server</w:t>
      </w:r>
      <w:r w:rsidRPr="00B658FB">
        <w:rPr>
          <w:rFonts w:ascii="Georgia" w:hAnsi="Georgia" w:cs="Georgia"/>
          <w:sz w:val="20"/>
          <w:szCs w:val="20"/>
        </w:rPr>
        <w:t xml:space="preserve"> </w:t>
      </w:r>
      <w:r w:rsidRPr="00B658FB">
        <w:rPr>
          <w:rFonts w:ascii="Georgia" w:hAnsi="Georgia" w:cs="Georgia"/>
          <w:sz w:val="20"/>
          <w:szCs w:val="20"/>
        </w:rPr>
        <w:t>installation manual.</w:t>
      </w:r>
    </w:p>
    <w:p w:rsidR="00B658FB" w:rsidRPr="00B658FB" w:rsidRDefault="00B658FB" w:rsidP="00B658F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0"/>
          <w:szCs w:val="20"/>
        </w:rPr>
      </w:pPr>
      <w:r w:rsidRPr="00B658FB">
        <w:rPr>
          <w:rFonts w:ascii="Georgia" w:hAnsi="Georgia" w:cs="Georgia"/>
          <w:sz w:val="20"/>
          <w:szCs w:val="20"/>
        </w:rPr>
        <w:t>Click on the ‘Apply’ button. The login screen is now displayed:</w:t>
      </w:r>
    </w:p>
    <w:p w:rsidR="00B658FB" w:rsidRPr="00B658FB" w:rsidRDefault="00B658FB" w:rsidP="00B658F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0"/>
          <w:szCs w:val="20"/>
        </w:rPr>
      </w:pPr>
      <w:r w:rsidRPr="00B658FB">
        <w:rPr>
          <w:rFonts w:ascii="Georgia" w:hAnsi="Georgia" w:cs="Georgia"/>
          <w:sz w:val="20"/>
          <w:szCs w:val="20"/>
        </w:rPr>
        <w:t>Enter a valid username and password to authenticate this detail. (Initially the default username</w:t>
      </w:r>
      <w:r w:rsidRPr="00B658FB">
        <w:rPr>
          <w:rFonts w:ascii="Georgia" w:hAnsi="Georgia" w:cs="Georgia"/>
          <w:sz w:val="20"/>
          <w:szCs w:val="20"/>
        </w:rPr>
        <w:t xml:space="preserve"> </w:t>
      </w:r>
      <w:r w:rsidRPr="00B658FB">
        <w:rPr>
          <w:rFonts w:ascii="Georgia" w:hAnsi="Georgia" w:cs="Georgia"/>
          <w:sz w:val="20"/>
          <w:szCs w:val="20"/>
        </w:rPr>
        <w:t>and password are Admin/Admin and Windows Authentication is not enabled.) The 'eB System</w:t>
      </w:r>
      <w:r w:rsidRPr="00B658FB">
        <w:rPr>
          <w:rFonts w:ascii="Georgia" w:hAnsi="Georgia" w:cs="Georgia"/>
          <w:sz w:val="20"/>
          <w:szCs w:val="20"/>
        </w:rPr>
        <w:t xml:space="preserve"> </w:t>
      </w:r>
      <w:r w:rsidRPr="00B658FB">
        <w:rPr>
          <w:rFonts w:ascii="Georgia" w:hAnsi="Georgia" w:cs="Georgia"/>
          <w:sz w:val="20"/>
          <w:szCs w:val="20"/>
        </w:rPr>
        <w:t>Management Console' screen is once again displayed.</w:t>
      </w:r>
    </w:p>
    <w:p w:rsidR="00B658FB" w:rsidRPr="00B658FB" w:rsidRDefault="00B658FB" w:rsidP="00B658F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0"/>
          <w:szCs w:val="20"/>
        </w:rPr>
      </w:pPr>
      <w:r w:rsidRPr="00B658FB">
        <w:rPr>
          <w:rFonts w:ascii="Georgia" w:hAnsi="Georgia" w:cs="Georgia"/>
          <w:sz w:val="20"/>
          <w:szCs w:val="20"/>
        </w:rPr>
        <w:t>Once a community has been added to the eB System Management Console, you are now able to</w:t>
      </w:r>
      <w:r>
        <w:rPr>
          <w:rFonts w:ascii="Georgia" w:hAnsi="Georgia" w:cs="Georgia"/>
          <w:sz w:val="20"/>
          <w:szCs w:val="20"/>
        </w:rPr>
        <w:t xml:space="preserve"> </w:t>
      </w:r>
      <w:r w:rsidRPr="00B658FB">
        <w:rPr>
          <w:rFonts w:ascii="Georgia" w:hAnsi="Georgia" w:cs="Georgia"/>
          <w:sz w:val="20"/>
          <w:szCs w:val="20"/>
        </w:rPr>
        <w:t>configure and monitor the following:</w:t>
      </w:r>
    </w:p>
    <w:p w:rsidR="00B658FB" w:rsidRDefault="00B658FB" w:rsidP="00B658F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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rFonts w:ascii="Georgia" w:hAnsi="Georgia" w:cs="Georgia"/>
          <w:sz w:val="20"/>
          <w:szCs w:val="20"/>
        </w:rPr>
        <w:t>Active Directory</w:t>
      </w:r>
    </w:p>
    <w:p w:rsidR="00B658FB" w:rsidRDefault="00B658FB" w:rsidP="00B658F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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rFonts w:ascii="Georgia" w:hAnsi="Georgia" w:cs="Georgia"/>
          <w:sz w:val="20"/>
          <w:szCs w:val="20"/>
        </w:rPr>
        <w:t>Audit Trail</w:t>
      </w:r>
    </w:p>
    <w:p w:rsidR="00B658FB" w:rsidRDefault="00B658FB" w:rsidP="00B658F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lastRenderedPageBreak/>
        <w:t>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rFonts w:ascii="Georgia" w:hAnsi="Georgia" w:cs="Georgia"/>
          <w:sz w:val="20"/>
          <w:szCs w:val="20"/>
        </w:rPr>
        <w:t>Database events</w:t>
      </w:r>
    </w:p>
    <w:p w:rsidR="00B658FB" w:rsidRDefault="00B658FB" w:rsidP="00B658FB">
      <w:pPr>
        <w:autoSpaceDE w:val="0"/>
        <w:autoSpaceDN w:val="0"/>
        <w:adjustRightInd w:val="0"/>
        <w:spacing w:after="0" w:line="240" w:lineRule="auto"/>
        <w:rPr>
          <w:rFonts w:ascii="Georgia" w:hAnsi="Georgia" w:cs="Georgia"/>
          <w:sz w:val="20"/>
          <w:szCs w:val="20"/>
        </w:rPr>
      </w:pPr>
      <w:r>
        <w:rPr>
          <w:rFonts w:ascii="Wingdings" w:hAnsi="Wingdings" w:cs="Wingdings"/>
          <w:sz w:val="20"/>
          <w:szCs w:val="20"/>
        </w:rPr>
        <w:t>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rFonts w:ascii="Georgia" w:hAnsi="Georgia" w:cs="Georgia"/>
          <w:sz w:val="20"/>
          <w:szCs w:val="20"/>
        </w:rPr>
        <w:t>Engines</w:t>
      </w:r>
    </w:p>
    <w:p w:rsidR="00041E33" w:rsidRDefault="00B658FB" w:rsidP="00B658FB">
      <w:r>
        <w:rPr>
          <w:rFonts w:ascii="Wingdings" w:hAnsi="Wingdings" w:cs="Wingdings"/>
          <w:sz w:val="20"/>
          <w:szCs w:val="20"/>
        </w:rPr>
        <w:t></w:t>
      </w:r>
      <w:r>
        <w:rPr>
          <w:rFonts w:ascii="Wingdings" w:hAnsi="Wingdings" w:cs="Wingdings"/>
          <w:sz w:val="20"/>
          <w:szCs w:val="20"/>
        </w:rPr>
        <w:t></w:t>
      </w:r>
      <w:r>
        <w:rPr>
          <w:rFonts w:ascii="Georgia" w:hAnsi="Georgia" w:cs="Georgia"/>
          <w:sz w:val="20"/>
          <w:szCs w:val="20"/>
        </w:rPr>
        <w:t>FTR</w:t>
      </w:r>
    </w:p>
    <w:sectPr w:rsidR="00041E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9193B"/>
    <w:multiLevelType w:val="hybridMultilevel"/>
    <w:tmpl w:val="6480F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35CFC"/>
    <w:multiLevelType w:val="hybridMultilevel"/>
    <w:tmpl w:val="FBD23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0C3E77"/>
    <w:multiLevelType w:val="hybridMultilevel"/>
    <w:tmpl w:val="2CA8A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F54C6C"/>
    <w:multiLevelType w:val="hybridMultilevel"/>
    <w:tmpl w:val="FD067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8FB"/>
    <w:rsid w:val="00041E33"/>
    <w:rsid w:val="00B6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10C96"/>
  <w15:chartTrackingRefBased/>
  <w15:docId w15:val="{F709DF63-85FA-4C2D-8276-C91C5FA47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58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242</Words>
  <Characters>1381</Characters>
  <Application>Microsoft Office Word</Application>
  <DocSecurity>0</DocSecurity>
  <Lines>11</Lines>
  <Paragraphs>3</Paragraphs>
  <ScaleCrop>false</ScaleCrop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Carma DeVilliers</dc:creator>
  <cp:keywords/>
  <dc:description/>
  <cp:lastModifiedBy>Carma DeVilliers</cp:lastModifiedBy>
  <cp:revision>1</cp:revision>
  <dcterms:created xsi:type="dcterms:W3CDTF">2017-02-28T06:45:00Z</dcterms:created>
  <dcterms:modified xsi:type="dcterms:W3CDTF">2017-02-28T06:50:00Z</dcterms:modified>
</cp:coreProperties>
</file>